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3C" w:rsidRDefault="000D413C" w:rsidP="000D413C">
      <w:pPr>
        <w:pStyle w:val="Heading3"/>
        <w:tabs>
          <w:tab w:val="left" w:pos="576"/>
          <w:tab w:val="left" w:leader="underscore" w:pos="8640"/>
        </w:tabs>
        <w:spacing w:before="240"/>
        <w:jc w:val="left"/>
        <w:rPr>
          <w:sz w:val="24"/>
        </w:rPr>
      </w:pPr>
      <w:r w:rsidRPr="00CF077D">
        <w:rPr>
          <w:sz w:val="24"/>
        </w:rPr>
        <w:t xml:space="preserve">Shtojca </w:t>
      </w:r>
      <w:r>
        <w:rPr>
          <w:sz w:val="24"/>
        </w:rPr>
        <w:t>9</w:t>
      </w:r>
    </w:p>
    <w:p w:rsidR="000D413C" w:rsidRPr="003402F9" w:rsidRDefault="000D413C" w:rsidP="000D413C">
      <w:pPr>
        <w:pStyle w:val="NormalWeb"/>
        <w:spacing w:before="0" w:beforeAutospacing="0" w:after="80" w:afterAutospacing="0"/>
        <w:jc w:val="center"/>
        <w:rPr>
          <w:lang w:val="sq-AL" w:eastAsia="it-IT"/>
        </w:rPr>
      </w:pPr>
      <w:r w:rsidRPr="003402F9">
        <w:rPr>
          <w:lang w:val="sq-AL" w:eastAsia="it-IT"/>
        </w:rPr>
        <w:t>[</w:t>
      </w:r>
      <w:r w:rsidRPr="003402F9">
        <w:rPr>
          <w:i/>
          <w:lang w:val="sq-AL" w:eastAsia="it-IT"/>
        </w:rPr>
        <w:t xml:space="preserve"> Shtojc</w:t>
      </w:r>
      <w:r>
        <w:rPr>
          <w:i/>
          <w:lang w:val="sq-AL" w:eastAsia="it-IT"/>
        </w:rPr>
        <w:t>ë</w:t>
      </w:r>
      <w:r w:rsidRPr="003402F9">
        <w:rPr>
          <w:i/>
          <w:lang w:val="sq-AL" w:eastAsia="it-IT"/>
        </w:rPr>
        <w:t xml:space="preserve"> p</w:t>
      </w:r>
      <w:r>
        <w:rPr>
          <w:i/>
          <w:lang w:val="sq-AL" w:eastAsia="it-IT"/>
        </w:rPr>
        <w:t>ë</w:t>
      </w:r>
      <w:r w:rsidRPr="003402F9">
        <w:rPr>
          <w:i/>
          <w:lang w:val="sq-AL" w:eastAsia="it-IT"/>
        </w:rPr>
        <w:t>r t</w:t>
      </w:r>
      <w:r>
        <w:rPr>
          <w:i/>
          <w:lang w:val="sq-AL" w:eastAsia="it-IT"/>
        </w:rPr>
        <w:t>’</w:t>
      </w:r>
      <w:r w:rsidRPr="003402F9">
        <w:rPr>
          <w:i/>
          <w:lang w:val="sq-AL" w:eastAsia="it-IT"/>
        </w:rPr>
        <w:t>u plot</w:t>
      </w:r>
      <w:r>
        <w:rPr>
          <w:i/>
          <w:lang w:val="sq-AL" w:eastAsia="it-IT"/>
        </w:rPr>
        <w:t>ë</w:t>
      </w:r>
      <w:r w:rsidRPr="003402F9">
        <w:rPr>
          <w:i/>
          <w:lang w:val="sq-AL" w:eastAsia="it-IT"/>
        </w:rPr>
        <w:t>suar nga Autoriteti Kontraktor</w:t>
      </w:r>
      <w:r w:rsidRPr="003402F9">
        <w:rPr>
          <w:lang w:val="sq-AL" w:eastAsia="it-IT"/>
        </w:rPr>
        <w:t>]</w:t>
      </w:r>
    </w:p>
    <w:p w:rsidR="000D413C" w:rsidRPr="00293A38" w:rsidRDefault="000D413C" w:rsidP="000D413C"/>
    <w:p w:rsidR="000D413C" w:rsidRPr="00860649" w:rsidRDefault="000D413C" w:rsidP="000D413C">
      <w:pPr>
        <w:pStyle w:val="Heading3"/>
        <w:tabs>
          <w:tab w:val="left" w:pos="576"/>
          <w:tab w:val="left" w:leader="underscore" w:pos="8640"/>
        </w:tabs>
        <w:spacing w:before="240"/>
        <w:rPr>
          <w:sz w:val="24"/>
        </w:rPr>
      </w:pPr>
      <w:r w:rsidRPr="00860649">
        <w:rPr>
          <w:sz w:val="24"/>
        </w:rPr>
        <w:t xml:space="preserve"> SPECIFIKIMET TEKNIKE</w:t>
      </w:r>
    </w:p>
    <w:p w:rsidR="000D413C" w:rsidRPr="00293A38" w:rsidRDefault="000D413C" w:rsidP="000D413C"/>
    <w:p w:rsidR="000D413C" w:rsidRDefault="000D413C" w:rsidP="000D413C">
      <w:pPr>
        <w:tabs>
          <w:tab w:val="left" w:pos="576"/>
          <w:tab w:val="left" w:leader="underscore" w:pos="8640"/>
        </w:tabs>
        <w:spacing w:before="240"/>
        <w:jc w:val="both"/>
        <w:rPr>
          <w:b/>
          <w:sz w:val="22"/>
        </w:rPr>
      </w:pPr>
    </w:p>
    <w:p w:rsidR="000D413C" w:rsidRPr="00860649" w:rsidRDefault="000D413C" w:rsidP="000D413C">
      <w:pPr>
        <w:tabs>
          <w:tab w:val="left" w:pos="576"/>
          <w:tab w:val="left" w:leader="underscore" w:pos="8640"/>
        </w:tabs>
        <w:spacing w:before="240"/>
        <w:jc w:val="both"/>
      </w:pPr>
      <w:r w:rsidRPr="00860649">
        <w:t>Skicimet, parametrat teknik etj:</w:t>
      </w:r>
    </w:p>
    <w:p w:rsidR="000D413C" w:rsidRPr="00860649" w:rsidRDefault="000D413C" w:rsidP="000D413C">
      <w:pPr>
        <w:tabs>
          <w:tab w:val="left" w:pos="576"/>
          <w:tab w:val="left" w:leader="underscore" w:pos="8640"/>
        </w:tabs>
        <w:spacing w:before="240"/>
        <w:jc w:val="both"/>
      </w:pPr>
    </w:p>
    <w:p w:rsidR="000D413C" w:rsidRPr="00860649" w:rsidRDefault="000D413C" w:rsidP="000D413C">
      <w:pPr>
        <w:tabs>
          <w:tab w:val="left" w:pos="576"/>
          <w:tab w:val="left" w:leader="underscore" w:pos="8640"/>
        </w:tabs>
        <w:spacing w:before="240"/>
        <w:jc w:val="both"/>
      </w:pPr>
      <w:r w:rsidRPr="00860649">
        <w:t>Specifikimi i Materialeve:</w:t>
      </w:r>
    </w:p>
    <w:p w:rsidR="000D413C" w:rsidRDefault="000D413C" w:rsidP="000D413C">
      <w:pPr>
        <w:spacing w:after="120"/>
        <w:rPr>
          <w:rFonts w:ascii="Arial" w:hAnsi="Arial" w:cs="Arial"/>
          <w:b/>
        </w:rPr>
      </w:pPr>
    </w:p>
    <w:p w:rsidR="000D413C" w:rsidRPr="001167A7" w:rsidRDefault="000D413C" w:rsidP="000D413C">
      <w:pPr>
        <w:spacing w:after="120"/>
        <w:rPr>
          <w:rFonts w:ascii="Arial" w:hAnsi="Arial" w:cs="Arial"/>
          <w:b/>
          <w:sz w:val="22"/>
          <w:szCs w:val="22"/>
        </w:rPr>
      </w:pPr>
      <w:r w:rsidRPr="001167A7">
        <w:rPr>
          <w:rFonts w:ascii="Arial" w:hAnsi="Arial" w:cs="Arial"/>
          <w:b/>
          <w:sz w:val="22"/>
          <w:szCs w:val="22"/>
        </w:rPr>
        <w:t>INFORMACION I PERGJITHSHEM</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Gjendja e mjetit:</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 xml:space="preserve">E perdorur </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Viti i prodhimit:</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2008 dhe ne vazhdim</w:t>
      </w:r>
    </w:p>
    <w:p w:rsidR="000D413C" w:rsidRPr="001167A7" w:rsidRDefault="000D413C" w:rsidP="000D413C">
      <w:pPr>
        <w:spacing w:after="120"/>
        <w:ind w:left="360"/>
        <w:rPr>
          <w:rFonts w:ascii="Arial" w:hAnsi="Arial" w:cs="Arial"/>
          <w:sz w:val="22"/>
          <w:szCs w:val="22"/>
          <w:vertAlign w:val="superscript"/>
        </w:rPr>
      </w:pPr>
      <w:r w:rsidRPr="001167A7">
        <w:rPr>
          <w:rFonts w:ascii="Arial" w:hAnsi="Arial" w:cs="Arial"/>
          <w:sz w:val="22"/>
          <w:szCs w:val="22"/>
        </w:rPr>
        <w:t>Vellimi i cilindrit te motorrit:</w:t>
      </w:r>
      <w:r w:rsidRPr="001167A7">
        <w:rPr>
          <w:rFonts w:ascii="Arial" w:hAnsi="Arial" w:cs="Arial"/>
          <w:sz w:val="22"/>
          <w:szCs w:val="22"/>
        </w:rPr>
        <w:tab/>
      </w:r>
      <w:r w:rsidRPr="001167A7">
        <w:rPr>
          <w:rFonts w:ascii="Arial" w:hAnsi="Arial" w:cs="Arial"/>
          <w:sz w:val="22"/>
          <w:szCs w:val="22"/>
        </w:rPr>
        <w:tab/>
        <w:t>2400 - 3400 cm</w:t>
      </w:r>
      <w:r w:rsidRPr="001167A7">
        <w:rPr>
          <w:rFonts w:ascii="Arial" w:hAnsi="Arial" w:cs="Arial"/>
          <w:sz w:val="22"/>
          <w:szCs w:val="22"/>
          <w:vertAlign w:val="superscript"/>
        </w:rPr>
        <w:t>3</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Fuqia e motorrit:</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140 - 200 HP</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Pesha e mjetit:</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2000 - 2500 kg</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Karburanti:</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Diesel</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Karroceria:</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Off-Road</w:t>
      </w:r>
    </w:p>
    <w:p w:rsidR="000D413C" w:rsidRDefault="000D413C" w:rsidP="000D413C">
      <w:pPr>
        <w:spacing w:after="120"/>
        <w:ind w:left="360"/>
        <w:rPr>
          <w:rFonts w:ascii="Arial" w:hAnsi="Arial" w:cs="Arial"/>
          <w:sz w:val="22"/>
          <w:szCs w:val="22"/>
        </w:rPr>
      </w:pPr>
      <w:r w:rsidRPr="001167A7">
        <w:rPr>
          <w:rFonts w:ascii="Arial" w:hAnsi="Arial" w:cs="Arial"/>
          <w:sz w:val="22"/>
          <w:szCs w:val="22"/>
        </w:rPr>
        <w:t>Transmisioni:</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Manual</w:t>
      </w:r>
    </w:p>
    <w:p w:rsidR="000D413C" w:rsidRPr="002E31B3" w:rsidRDefault="000D413C" w:rsidP="000D413C">
      <w:pPr>
        <w:spacing w:after="120"/>
        <w:ind w:left="360"/>
        <w:jc w:val="both"/>
        <w:rPr>
          <w:rFonts w:ascii="Arial" w:hAnsi="Arial" w:cs="Arial"/>
          <w:sz w:val="22"/>
          <w:szCs w:val="22"/>
          <w:lang w:val="it-IT"/>
        </w:rPr>
      </w:pPr>
      <w:r w:rsidRPr="002E31B3">
        <w:rPr>
          <w:rFonts w:ascii="Arial" w:hAnsi="Arial" w:cs="Arial"/>
          <w:sz w:val="22"/>
          <w:szCs w:val="22"/>
          <w:lang w:val="it-IT"/>
        </w:rPr>
        <w:t>Sistemi i drejtimit:</w:t>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Pr="002E31B3">
        <w:rPr>
          <w:rFonts w:ascii="Arial" w:hAnsi="Arial" w:cs="Arial"/>
          <w:sz w:val="22"/>
          <w:szCs w:val="22"/>
          <w:lang w:val="it-IT"/>
        </w:rPr>
        <w:t>Hidraulik në krahun e majtë</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Rrota aktive:</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4</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Ngjyra:</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Bardhe, Gri, Zeze, Blu</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Dyer:</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4</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Ulese:</w:t>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t>5</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Automjeti i perdorur nuk duhet te kete pershkuar me shume se </w:t>
      </w:r>
      <w:r>
        <w:rPr>
          <w:rFonts w:ascii="Arial" w:hAnsi="Arial" w:cs="Arial"/>
          <w:sz w:val="22"/>
          <w:szCs w:val="22"/>
        </w:rPr>
        <w:t>175</w:t>
      </w:r>
      <w:r w:rsidRPr="001167A7">
        <w:rPr>
          <w:rFonts w:ascii="Arial" w:hAnsi="Arial" w:cs="Arial"/>
          <w:sz w:val="22"/>
          <w:szCs w:val="22"/>
        </w:rPr>
        <w:t>,000 km. Automjetet duhet te jene te se njejtes ngjyre.</w:t>
      </w:r>
    </w:p>
    <w:p w:rsidR="000D413C" w:rsidRPr="001167A7" w:rsidRDefault="000D413C" w:rsidP="000D413C">
      <w:pPr>
        <w:spacing w:after="120"/>
        <w:rPr>
          <w:rFonts w:ascii="Arial" w:hAnsi="Arial" w:cs="Arial"/>
          <w:sz w:val="22"/>
          <w:szCs w:val="22"/>
        </w:rPr>
      </w:pPr>
      <w:r w:rsidRPr="001167A7">
        <w:rPr>
          <w:rFonts w:ascii="Arial" w:hAnsi="Arial" w:cs="Arial"/>
          <w:sz w:val="22"/>
          <w:szCs w:val="22"/>
        </w:rPr>
        <w:tab/>
      </w:r>
      <w:r w:rsidRPr="001167A7">
        <w:rPr>
          <w:rFonts w:ascii="Arial" w:hAnsi="Arial" w:cs="Arial"/>
          <w:sz w:val="22"/>
          <w:szCs w:val="22"/>
        </w:rPr>
        <w:tab/>
      </w:r>
      <w:r w:rsidRPr="001167A7">
        <w:rPr>
          <w:rFonts w:ascii="Arial" w:hAnsi="Arial" w:cs="Arial"/>
          <w:sz w:val="22"/>
          <w:szCs w:val="22"/>
        </w:rPr>
        <w:tab/>
      </w:r>
    </w:p>
    <w:p w:rsidR="000D413C" w:rsidRPr="001167A7" w:rsidRDefault="000D413C" w:rsidP="000D413C">
      <w:pPr>
        <w:spacing w:after="120"/>
        <w:rPr>
          <w:rFonts w:ascii="Arial" w:hAnsi="Arial" w:cs="Arial"/>
          <w:b/>
          <w:sz w:val="22"/>
          <w:szCs w:val="22"/>
        </w:rPr>
      </w:pPr>
      <w:r w:rsidRPr="001167A7">
        <w:rPr>
          <w:rFonts w:ascii="Arial" w:hAnsi="Arial" w:cs="Arial"/>
          <w:b/>
          <w:sz w:val="22"/>
          <w:szCs w:val="22"/>
        </w:rPr>
        <w:t>OPSIONE BAZE</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ABS</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Rrote rezerve</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2 Airbag</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Xhama elektrik</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Mbyllje qendrore</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lastRenderedPageBreak/>
        <w:t>Mbyllje qendrore me pult</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Klimatizator </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Pasqyra me komandim nga brenda</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Sedile me pozicionim manual</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Drita frenimi prapa</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Drita mjegulle</w:t>
      </w:r>
    </w:p>
    <w:p w:rsidR="000D413C" w:rsidRPr="001167A7" w:rsidRDefault="000D413C" w:rsidP="000D413C">
      <w:pPr>
        <w:spacing w:after="120"/>
        <w:ind w:left="360"/>
        <w:rPr>
          <w:rFonts w:ascii="Arial" w:hAnsi="Arial" w:cs="Arial"/>
          <w:sz w:val="22"/>
          <w:szCs w:val="22"/>
        </w:rPr>
      </w:pPr>
    </w:p>
    <w:p w:rsidR="000D413C" w:rsidRPr="001167A7" w:rsidRDefault="000D413C" w:rsidP="000D413C">
      <w:pPr>
        <w:spacing w:after="120"/>
        <w:rPr>
          <w:rFonts w:ascii="Arial" w:hAnsi="Arial" w:cs="Arial"/>
          <w:b/>
          <w:sz w:val="22"/>
          <w:szCs w:val="22"/>
        </w:rPr>
      </w:pPr>
      <w:r w:rsidRPr="001167A7">
        <w:rPr>
          <w:rFonts w:ascii="Arial" w:hAnsi="Arial" w:cs="Arial"/>
          <w:b/>
          <w:sz w:val="22"/>
          <w:szCs w:val="22"/>
        </w:rPr>
        <w:t>GJENDJA E MJETIT</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Automjeti duhet te jete ne gjendje optimale teknike, vizuale dhe me liber sherbimesh ne te cilin te jene te regjistruara te gjitha sherbimet perriodike apo sherbime defektesh nese ka patur te tille. </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Autojetet dhuhet te jene te pajisura me goma te reja. </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Autojetet duhet te jene te pajisura me dokumentacion te plote konform kerkesave te legjislacionit shqiptar ne fuqi. </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 xml:space="preserve">Gjendja e automjetit duhet te jete sipas brenda normave te cilat </w:t>
      </w:r>
      <w:r w:rsidRPr="001167A7">
        <w:rPr>
          <w:rFonts w:ascii="Arial" w:hAnsi="Arial" w:cs="Arial"/>
          <w:sz w:val="22"/>
          <w:szCs w:val="22"/>
          <w:shd w:val="clear" w:color="auto" w:fill="FFFFFF"/>
        </w:rPr>
        <w:t>ndikojnë në sigurinë e drejtuesit, të pasagjerëve dhe të përdoruesve të tjerë të rrugës, ku përfshihen drejtuesit e mjeteve të tjera rrugore dhe këmbësorët. Per kete arsye sistemet e automjetit duhet te jene ne kushte optimale, me konkretisht:</w:t>
      </w:r>
    </w:p>
    <w:p w:rsidR="000D413C" w:rsidRPr="001167A7" w:rsidRDefault="000D413C" w:rsidP="000D413C">
      <w:pPr>
        <w:numPr>
          <w:ilvl w:val="0"/>
          <w:numId w:val="1"/>
        </w:numPr>
        <w:shd w:val="clear" w:color="auto" w:fill="FFFFFF"/>
        <w:tabs>
          <w:tab w:val="clear" w:pos="360"/>
        </w:tabs>
        <w:spacing w:after="120" w:line="280" w:lineRule="exact"/>
        <w:ind w:left="720" w:hanging="270"/>
        <w:rPr>
          <w:rFonts w:ascii="Arial" w:hAnsi="Arial" w:cs="Arial"/>
          <w:sz w:val="22"/>
          <w:szCs w:val="22"/>
        </w:rPr>
      </w:pPr>
      <w:r w:rsidRPr="001167A7">
        <w:rPr>
          <w:rFonts w:ascii="Arial" w:hAnsi="Arial" w:cs="Arial"/>
          <w:sz w:val="22"/>
          <w:szCs w:val="22"/>
        </w:rPr>
        <w:t>Sistemi i shkarkimit të gazrave.</w:t>
      </w:r>
    </w:p>
    <w:p w:rsidR="000D413C" w:rsidRPr="001167A7" w:rsidRDefault="000D413C" w:rsidP="000D413C">
      <w:pPr>
        <w:numPr>
          <w:ilvl w:val="0"/>
          <w:numId w:val="1"/>
        </w:numPr>
        <w:shd w:val="clear" w:color="auto" w:fill="FFFFFF"/>
        <w:tabs>
          <w:tab w:val="clear" w:pos="360"/>
        </w:tabs>
        <w:spacing w:after="120" w:line="280" w:lineRule="exact"/>
        <w:ind w:left="720" w:hanging="270"/>
        <w:rPr>
          <w:rFonts w:ascii="Arial" w:hAnsi="Arial" w:cs="Arial"/>
          <w:sz w:val="22"/>
          <w:szCs w:val="22"/>
        </w:rPr>
      </w:pPr>
      <w:r w:rsidRPr="001167A7">
        <w:rPr>
          <w:rFonts w:ascii="Arial" w:hAnsi="Arial" w:cs="Arial"/>
          <w:sz w:val="22"/>
          <w:szCs w:val="22"/>
        </w:rPr>
        <w:t>Niveli i fokusit të fenerëve</w:t>
      </w:r>
    </w:p>
    <w:p w:rsidR="000D413C" w:rsidRPr="001167A7" w:rsidRDefault="000D413C" w:rsidP="000D413C">
      <w:pPr>
        <w:numPr>
          <w:ilvl w:val="0"/>
          <w:numId w:val="1"/>
        </w:numPr>
        <w:shd w:val="clear" w:color="auto" w:fill="FFFFFF"/>
        <w:tabs>
          <w:tab w:val="clear" w:pos="360"/>
        </w:tabs>
        <w:spacing w:after="120" w:line="280" w:lineRule="exact"/>
        <w:ind w:left="720" w:hanging="270"/>
        <w:rPr>
          <w:rFonts w:ascii="Arial" w:hAnsi="Arial" w:cs="Arial"/>
          <w:sz w:val="22"/>
          <w:szCs w:val="22"/>
        </w:rPr>
      </w:pPr>
      <w:r w:rsidRPr="001167A7">
        <w:rPr>
          <w:rFonts w:ascii="Arial" w:hAnsi="Arial" w:cs="Arial"/>
          <w:sz w:val="22"/>
          <w:szCs w:val="22"/>
        </w:rPr>
        <w:t xml:space="preserve">Gjeometria (konvergjenca) e rrotave të automjetit </w:t>
      </w:r>
    </w:p>
    <w:p w:rsidR="000D413C" w:rsidRPr="001167A7" w:rsidRDefault="000D413C" w:rsidP="000D413C">
      <w:pPr>
        <w:numPr>
          <w:ilvl w:val="0"/>
          <w:numId w:val="1"/>
        </w:numPr>
        <w:shd w:val="clear" w:color="auto" w:fill="FFFFFF"/>
        <w:tabs>
          <w:tab w:val="clear" w:pos="360"/>
        </w:tabs>
        <w:spacing w:after="120" w:line="280" w:lineRule="exact"/>
        <w:ind w:left="720" w:hanging="270"/>
        <w:rPr>
          <w:rFonts w:ascii="Arial" w:hAnsi="Arial" w:cs="Arial"/>
          <w:sz w:val="22"/>
          <w:szCs w:val="22"/>
        </w:rPr>
      </w:pPr>
      <w:r w:rsidRPr="001167A7">
        <w:rPr>
          <w:rFonts w:ascii="Arial" w:hAnsi="Arial" w:cs="Arial"/>
          <w:sz w:val="22"/>
          <w:szCs w:val="22"/>
        </w:rPr>
        <w:t>Sistemi i amortizimit</w:t>
      </w:r>
    </w:p>
    <w:p w:rsidR="000D413C" w:rsidRPr="001167A7" w:rsidRDefault="000D413C" w:rsidP="000D413C">
      <w:pPr>
        <w:numPr>
          <w:ilvl w:val="0"/>
          <w:numId w:val="1"/>
        </w:numPr>
        <w:shd w:val="clear" w:color="auto" w:fill="FFFFFF"/>
        <w:tabs>
          <w:tab w:val="clear" w:pos="360"/>
        </w:tabs>
        <w:spacing w:after="120" w:line="280" w:lineRule="exact"/>
        <w:ind w:left="720" w:hanging="270"/>
        <w:rPr>
          <w:rFonts w:ascii="Arial" w:hAnsi="Arial" w:cs="Arial"/>
          <w:sz w:val="22"/>
          <w:szCs w:val="22"/>
        </w:rPr>
      </w:pPr>
      <w:r w:rsidRPr="001167A7">
        <w:rPr>
          <w:rFonts w:ascii="Arial" w:hAnsi="Arial" w:cs="Arial"/>
          <w:sz w:val="22"/>
          <w:szCs w:val="22"/>
        </w:rPr>
        <w:t>Sistemi i frenimit</w:t>
      </w:r>
    </w:p>
    <w:p w:rsidR="000D413C" w:rsidRPr="001167A7" w:rsidRDefault="000D413C" w:rsidP="000D413C">
      <w:pPr>
        <w:shd w:val="clear" w:color="auto" w:fill="FFFFFF"/>
        <w:spacing w:after="120"/>
        <w:ind w:left="270"/>
        <w:rPr>
          <w:rFonts w:ascii="Arial" w:hAnsi="Arial" w:cs="Arial"/>
          <w:sz w:val="22"/>
          <w:szCs w:val="22"/>
        </w:rPr>
      </w:pPr>
      <w:r w:rsidRPr="001167A7">
        <w:rPr>
          <w:rFonts w:ascii="Arial" w:hAnsi="Arial" w:cs="Arial"/>
          <w:sz w:val="22"/>
          <w:szCs w:val="22"/>
        </w:rPr>
        <w:t> </w:t>
      </w:r>
      <w:r w:rsidRPr="001167A7">
        <w:rPr>
          <w:rFonts w:ascii="Arial" w:hAnsi="Arial" w:cs="Arial"/>
          <w:bCs/>
          <w:sz w:val="22"/>
          <w:szCs w:val="22"/>
        </w:rPr>
        <w:t>Automjetet duhet te plotesojne parametrat dhe elementet vizuale si me poshte:</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 xml:space="preserve">Numri i shasisë së automjetit dhe targa e tij te jene te lehtesisht te identifikueshme, </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Përputhja e të dhënave të automjetit me të dhënat e regjistruara në lejen e tij të qarkullimit.</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 xml:space="preserve">Sistemi i ndriçimit dhe sinjalistikës së jashtme </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Kruskoti i automjetit dhe funksionimi i tij i plote ne te gjithe elementet perberes</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Fshirëset dhe larëset e xhamave funksionale.</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 xml:space="preserve">Sistemi elektrik </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Të gjithë elementet që lidhen me sistemin e frenimit (pedalet, levat, tubat etj.)</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Të gjithë elementet që lidhen me sistemin e drejtimit (nyjet, gominat etj.)</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Funksionaliteti dhe siguria e dyerve, dritareve dhe pasqyrave.</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Ndenjëset dhe funksionimi i rripave të sigurimit</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Gjendja e shasisë së automjetit</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lastRenderedPageBreak/>
        <w:t>Gjendja e karrocerisë së automjetit</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Sistemi i ushqimit</w:t>
      </w:r>
    </w:p>
    <w:p w:rsidR="000D413C" w:rsidRPr="001167A7" w:rsidRDefault="000D413C" w:rsidP="000D413C">
      <w:pPr>
        <w:numPr>
          <w:ilvl w:val="0"/>
          <w:numId w:val="2"/>
        </w:numPr>
        <w:shd w:val="clear" w:color="auto" w:fill="FFFFFF"/>
        <w:spacing w:after="120" w:line="280" w:lineRule="exact"/>
        <w:ind w:hanging="274"/>
        <w:rPr>
          <w:rFonts w:ascii="Arial" w:hAnsi="Arial" w:cs="Arial"/>
          <w:sz w:val="22"/>
          <w:szCs w:val="22"/>
        </w:rPr>
      </w:pPr>
      <w:r w:rsidRPr="001167A7">
        <w:rPr>
          <w:rFonts w:ascii="Arial" w:hAnsi="Arial" w:cs="Arial"/>
          <w:sz w:val="22"/>
          <w:szCs w:val="22"/>
        </w:rPr>
        <w:t>Sistemi i transmisionit</w:t>
      </w:r>
    </w:p>
    <w:p w:rsidR="000D413C" w:rsidRPr="001167A7" w:rsidRDefault="000D413C" w:rsidP="000D413C">
      <w:pPr>
        <w:spacing w:after="120"/>
        <w:ind w:left="360"/>
        <w:rPr>
          <w:rFonts w:ascii="Arial" w:hAnsi="Arial" w:cs="Arial"/>
          <w:sz w:val="22"/>
          <w:szCs w:val="22"/>
        </w:rPr>
      </w:pPr>
      <w:r w:rsidRPr="001167A7">
        <w:rPr>
          <w:rFonts w:ascii="Arial" w:hAnsi="Arial" w:cs="Arial"/>
          <w:sz w:val="22"/>
          <w:szCs w:val="22"/>
        </w:rPr>
        <w:t>Te gjithe elementet e mesiperm duhet te jene funksionale, pa defekte dhe te kryejne normalisht procesin perkates.</w:t>
      </w:r>
    </w:p>
    <w:p w:rsidR="000D413C" w:rsidRPr="00860649" w:rsidRDefault="000D413C" w:rsidP="000D413C">
      <w:pPr>
        <w:tabs>
          <w:tab w:val="left" w:pos="576"/>
          <w:tab w:val="left" w:leader="underscore" w:pos="8640"/>
        </w:tabs>
        <w:spacing w:before="240"/>
        <w:jc w:val="both"/>
      </w:pPr>
      <w:r w:rsidRPr="001167A7">
        <w:rPr>
          <w:rFonts w:ascii="Arial" w:hAnsi="Arial" w:cs="Arial"/>
          <w:sz w:val="22"/>
          <w:szCs w:val="22"/>
        </w:rPr>
        <w:t>Preferencat e Autoritetit Kontraktor jane per markat e automjeteve Mitsubishi, Toyota apo Land Rover. Ofertat jane te pranueshme me cdo marke mjeti qe i permbahet kushteve dhe specifikave te mesiperme.</w:t>
      </w:r>
    </w:p>
    <w:p w:rsidR="000D413C" w:rsidRPr="00860649" w:rsidRDefault="000D413C" w:rsidP="000D413C">
      <w:pPr>
        <w:tabs>
          <w:tab w:val="left" w:pos="576"/>
          <w:tab w:val="left" w:leader="underscore" w:pos="8640"/>
        </w:tabs>
        <w:spacing w:before="240"/>
        <w:jc w:val="both"/>
      </w:pPr>
    </w:p>
    <w:p w:rsidR="000D413C" w:rsidRPr="00860649" w:rsidRDefault="000D413C" w:rsidP="000D413C">
      <w:pPr>
        <w:tabs>
          <w:tab w:val="left" w:pos="576"/>
          <w:tab w:val="left" w:leader="underscore" w:pos="8640"/>
        </w:tabs>
        <w:spacing w:before="240"/>
        <w:jc w:val="both"/>
      </w:pPr>
      <w:r w:rsidRPr="00860649">
        <w:t>Përshkrimi i kërkesave të zbatimit të shërbimeve në lidhje me to:</w:t>
      </w:r>
    </w:p>
    <w:p w:rsidR="000D413C" w:rsidRDefault="000D413C" w:rsidP="000D413C">
      <w:pPr>
        <w:pStyle w:val="Heading3"/>
        <w:tabs>
          <w:tab w:val="left" w:pos="576"/>
          <w:tab w:val="left" w:leader="underscore" w:pos="8640"/>
        </w:tabs>
        <w:spacing w:before="240"/>
        <w:jc w:val="left"/>
        <w:rPr>
          <w:sz w:val="24"/>
        </w:rPr>
      </w:pPr>
      <w:r w:rsidRPr="00860649">
        <w:rPr>
          <w:sz w:val="24"/>
        </w:rPr>
        <w:br w:type="page"/>
      </w:r>
      <w:r>
        <w:rPr>
          <w:sz w:val="24"/>
        </w:rPr>
        <w:lastRenderedPageBreak/>
        <w:t>Shtojca 10</w:t>
      </w:r>
    </w:p>
    <w:p w:rsidR="000D413C" w:rsidRDefault="000D413C" w:rsidP="000D413C"/>
    <w:p w:rsidR="000D413C" w:rsidRPr="008F160C" w:rsidRDefault="000D413C" w:rsidP="000D413C">
      <w:pPr>
        <w:pStyle w:val="NormalWeb"/>
        <w:spacing w:before="0" w:beforeAutospacing="0" w:after="80" w:afterAutospacing="0"/>
        <w:jc w:val="center"/>
        <w:rPr>
          <w:lang w:val="it-IT" w:eastAsia="it-IT"/>
        </w:rPr>
      </w:pPr>
      <w:r w:rsidRPr="008F160C">
        <w:rPr>
          <w:lang w:val="it-IT" w:eastAsia="it-IT"/>
        </w:rPr>
        <w:t>[</w:t>
      </w:r>
      <w:r w:rsidRPr="008F160C">
        <w:rPr>
          <w:i/>
          <w:lang w:val="it-IT" w:eastAsia="it-IT"/>
        </w:rPr>
        <w:t xml:space="preserve"> </w:t>
      </w:r>
      <w:r>
        <w:rPr>
          <w:i/>
          <w:lang w:val="it-IT" w:eastAsia="it-IT"/>
        </w:rPr>
        <w:t>Shtojcë për t’u plotësuar nga Autoriteti Kontraktor</w:t>
      </w:r>
      <w:r w:rsidRPr="008F160C">
        <w:rPr>
          <w:lang w:val="it-IT" w:eastAsia="it-IT"/>
        </w:rPr>
        <w:t>]</w:t>
      </w:r>
    </w:p>
    <w:p w:rsidR="000D413C" w:rsidRDefault="000D413C" w:rsidP="000D413C"/>
    <w:p w:rsidR="000D413C" w:rsidRPr="001F68FC" w:rsidRDefault="000D413C" w:rsidP="000D413C">
      <w:pPr>
        <w:rPr>
          <w:b/>
        </w:rPr>
      </w:pPr>
      <w:r>
        <w:tab/>
      </w:r>
      <w:r>
        <w:tab/>
      </w:r>
      <w:r>
        <w:tab/>
      </w:r>
      <w:r>
        <w:tab/>
      </w:r>
      <w:r w:rsidRPr="001F68FC">
        <w:rPr>
          <w:b/>
        </w:rPr>
        <w:t>SASIA DHE GRAFIKU I L</w:t>
      </w:r>
      <w:r>
        <w:rPr>
          <w:b/>
        </w:rPr>
        <w:t>Ë</w:t>
      </w:r>
      <w:r w:rsidRPr="001F68FC">
        <w:rPr>
          <w:b/>
        </w:rPr>
        <w:t xml:space="preserve">VRIMIT </w:t>
      </w:r>
    </w:p>
    <w:p w:rsidR="000D413C" w:rsidRDefault="000D413C" w:rsidP="000D413C">
      <w:pPr>
        <w:tabs>
          <w:tab w:val="left" w:pos="576"/>
          <w:tab w:val="left" w:leader="underscore" w:pos="8640"/>
        </w:tabs>
        <w:spacing w:before="240"/>
        <w:jc w:val="both"/>
        <w:rPr>
          <w:sz w:val="22"/>
        </w:rPr>
      </w:pPr>
    </w:p>
    <w:p w:rsidR="000D413C" w:rsidRDefault="000D413C" w:rsidP="000D413C">
      <w:pPr>
        <w:pStyle w:val="Heading3"/>
        <w:tabs>
          <w:tab w:val="left" w:pos="576"/>
          <w:tab w:val="left" w:leader="underscore" w:pos="8640"/>
        </w:tabs>
        <w:spacing w:before="240"/>
        <w:jc w:val="left"/>
        <w:rPr>
          <w:sz w:val="24"/>
        </w:rPr>
      </w:pPr>
    </w:p>
    <w:p w:rsidR="000D413C" w:rsidRPr="00860649" w:rsidRDefault="000D413C" w:rsidP="000D413C">
      <w:pPr>
        <w:pStyle w:val="Heading3"/>
        <w:tabs>
          <w:tab w:val="left" w:pos="576"/>
          <w:tab w:val="left" w:leader="underscore" w:pos="8640"/>
        </w:tabs>
        <w:spacing w:before="240"/>
        <w:jc w:val="left"/>
        <w:rPr>
          <w:b w:val="0"/>
          <w:sz w:val="24"/>
        </w:rPr>
      </w:pPr>
      <w:r w:rsidRPr="00860649">
        <w:rPr>
          <w:b w:val="0"/>
          <w:sz w:val="24"/>
        </w:rPr>
        <w:t xml:space="preserve">Sasia e mallit që kërkohet: </w:t>
      </w:r>
    </w:p>
    <w:p w:rsidR="000D413C" w:rsidRDefault="000D413C" w:rsidP="000D413C"/>
    <w:p w:rsidR="000D413C" w:rsidRPr="001167A7" w:rsidRDefault="000D413C" w:rsidP="000D413C">
      <w:pPr>
        <w:rPr>
          <w:rFonts w:ascii="Arial" w:hAnsi="Arial" w:cs="Arial"/>
          <w:b/>
          <w:sz w:val="28"/>
          <w:szCs w:val="28"/>
        </w:rPr>
      </w:pPr>
      <w:r w:rsidRPr="001167A7">
        <w:rPr>
          <w:rFonts w:ascii="Arial" w:hAnsi="Arial" w:cs="Arial"/>
          <w:b/>
          <w:sz w:val="28"/>
          <w:szCs w:val="28"/>
        </w:rPr>
        <w:t>Sasia e mallit qe kerkohet jane 2 (dy) cope automjete tip fuoristrade.</w:t>
      </w:r>
    </w:p>
    <w:p w:rsidR="000D413C" w:rsidRPr="00860649" w:rsidRDefault="000D413C" w:rsidP="000D413C"/>
    <w:p w:rsidR="000D413C" w:rsidRPr="00860649" w:rsidRDefault="000D413C" w:rsidP="000D413C"/>
    <w:p w:rsidR="000D413C" w:rsidRPr="00860649" w:rsidRDefault="000D413C" w:rsidP="000D413C"/>
    <w:p w:rsidR="000D413C" w:rsidRPr="00860649" w:rsidRDefault="000D413C" w:rsidP="000D413C"/>
    <w:p w:rsidR="000D413C" w:rsidRPr="00860649" w:rsidRDefault="000D413C" w:rsidP="000D413C"/>
    <w:p w:rsidR="000D413C" w:rsidRPr="00860649" w:rsidRDefault="000D413C" w:rsidP="000D413C">
      <w:pPr>
        <w:rPr>
          <w:bCs/>
        </w:rPr>
      </w:pPr>
      <w:r w:rsidRPr="00860649">
        <w:t>Afatet e lëvrimit</w:t>
      </w:r>
      <w:r w:rsidRPr="00860649">
        <w:rPr>
          <w:bCs/>
        </w:rPr>
        <w:t xml:space="preserve">:  </w:t>
      </w:r>
    </w:p>
    <w:p w:rsidR="000D413C" w:rsidRPr="00860649" w:rsidRDefault="000D413C" w:rsidP="000D413C"/>
    <w:p w:rsidR="000D413C" w:rsidRPr="001167A7" w:rsidRDefault="000D413C" w:rsidP="000D413C">
      <w:pPr>
        <w:rPr>
          <w:rFonts w:ascii="Arial" w:hAnsi="Arial" w:cs="Arial"/>
          <w:b/>
          <w:sz w:val="28"/>
          <w:szCs w:val="28"/>
        </w:rPr>
      </w:pPr>
      <w:r w:rsidRPr="001167A7">
        <w:rPr>
          <w:rFonts w:ascii="Arial" w:hAnsi="Arial" w:cs="Arial"/>
          <w:b/>
          <w:sz w:val="28"/>
          <w:szCs w:val="28"/>
        </w:rPr>
        <w:t>Afati i levrimit eshte 15 (pesembedhjete) dite nga data e lidhjes se kontrates.</w:t>
      </w:r>
    </w:p>
    <w:p w:rsidR="001F2384" w:rsidRDefault="001F2384"/>
    <w:sectPr w:rsidR="001F2384" w:rsidSect="001F2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690" w:rsidRDefault="008B1690" w:rsidP="000D413C">
      <w:r>
        <w:separator/>
      </w:r>
    </w:p>
  </w:endnote>
  <w:endnote w:type="continuationSeparator" w:id="1">
    <w:p w:rsidR="008B1690" w:rsidRDefault="008B1690" w:rsidP="000D41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690" w:rsidRDefault="008B1690" w:rsidP="000D413C">
      <w:r>
        <w:separator/>
      </w:r>
    </w:p>
  </w:footnote>
  <w:footnote w:type="continuationSeparator" w:id="1">
    <w:p w:rsidR="008B1690" w:rsidRDefault="008B1690" w:rsidP="000D4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5403" o:spid="_x0000_s2050"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5404" o:spid="_x0000_s2051"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C" w:rsidRDefault="000D41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5402" o:spid="_x0000_s2049"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4C47"/>
    <w:multiLevelType w:val="multilevel"/>
    <w:tmpl w:val="F942DB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7A6780D"/>
    <w:multiLevelType w:val="multilevel"/>
    <w:tmpl w:val="C95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D413C"/>
    <w:rsid w:val="000D413C"/>
    <w:rsid w:val="001F2384"/>
    <w:rsid w:val="002104A7"/>
    <w:rsid w:val="00360235"/>
    <w:rsid w:val="00645F71"/>
    <w:rsid w:val="008B1690"/>
    <w:rsid w:val="00A32B32"/>
    <w:rsid w:val="00A8493D"/>
    <w:rsid w:val="00BA3054"/>
    <w:rsid w:val="00C3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3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D413C"/>
    <w:pPr>
      <w:keepNext/>
      <w:jc w:val="center"/>
      <w:outlineLvl w:val="2"/>
    </w:pPr>
    <w:rPr>
      <w:b/>
      <w:bCs/>
      <w:sz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413C"/>
    <w:rPr>
      <w:rFonts w:ascii="Times New Roman" w:eastAsia="Times New Roman" w:hAnsi="Times New Roman" w:cs="Times New Roman"/>
      <w:b/>
      <w:bCs/>
      <w:sz w:val="28"/>
      <w:szCs w:val="24"/>
      <w:lang w:val="sq-AL"/>
    </w:rPr>
  </w:style>
  <w:style w:type="paragraph" w:styleId="NormalWeb">
    <w:name w:val="Normal (Web)"/>
    <w:basedOn w:val="Normal"/>
    <w:rsid w:val="000D413C"/>
    <w:pPr>
      <w:spacing w:before="100" w:beforeAutospacing="1" w:after="100" w:afterAutospacing="1"/>
    </w:pPr>
  </w:style>
  <w:style w:type="paragraph" w:styleId="Header">
    <w:name w:val="header"/>
    <w:basedOn w:val="Normal"/>
    <w:link w:val="HeaderChar"/>
    <w:uiPriority w:val="99"/>
    <w:semiHidden/>
    <w:unhideWhenUsed/>
    <w:rsid w:val="000D413C"/>
    <w:pPr>
      <w:tabs>
        <w:tab w:val="center" w:pos="4680"/>
        <w:tab w:val="right" w:pos="9360"/>
      </w:tabs>
    </w:pPr>
  </w:style>
  <w:style w:type="character" w:customStyle="1" w:styleId="HeaderChar">
    <w:name w:val="Header Char"/>
    <w:basedOn w:val="DefaultParagraphFont"/>
    <w:link w:val="Header"/>
    <w:uiPriority w:val="99"/>
    <w:semiHidden/>
    <w:rsid w:val="000D413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D413C"/>
    <w:pPr>
      <w:tabs>
        <w:tab w:val="center" w:pos="4680"/>
        <w:tab w:val="right" w:pos="9360"/>
      </w:tabs>
    </w:pPr>
  </w:style>
  <w:style w:type="character" w:customStyle="1" w:styleId="FooterChar">
    <w:name w:val="Footer Char"/>
    <w:basedOn w:val="DefaultParagraphFont"/>
    <w:link w:val="Footer"/>
    <w:uiPriority w:val="99"/>
    <w:semiHidden/>
    <w:rsid w:val="000D413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2016-06-30T09:55:00Z</dcterms:created>
  <dcterms:modified xsi:type="dcterms:W3CDTF">2016-06-30T10:00:00Z</dcterms:modified>
</cp:coreProperties>
</file>